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widowControl w:val="1"/>
      </w:pPr>
      <w:r>
        <w:rPr>
          <w:rFonts w:ascii="Arial Unicode MS" w:hAnsi="Arial Unicode MS" w:eastAsia="Arial Unicode MS"/>
          <w:b/>
          <w:color w:val="16324F"/>
          <w:sz w:val="48"/>
        </w:rPr>
        <w:t>赵育轩</w:t>
      </w:r>
    </w:p>
    <w:p>
      <w:pPr>
        <w:spacing w:before="0" w:after="60"/>
        <w:widowControl w:val="1"/>
      </w:pPr>
      <w:r>
        <w:rPr>
          <w:rFonts w:ascii="Arial Unicode MS" w:hAnsi="Arial Unicode MS" w:eastAsia="Arial Unicode MS"/>
          <w:b/>
          <w:color w:val="246B8E"/>
          <w:sz w:val="23"/>
        </w:rPr>
        <w:t>业务型 FDE｜企业 AI 落地、商业诊断与复杂项目交付</w:t>
      </w:r>
    </w:p>
    <w:p>
      <w:pPr>
        <w:spacing w:after="20"/>
        <w:widowControl w:val="1"/>
      </w:pPr>
      <w:r>
        <w:rPr>
          <w:rFonts w:ascii="Arial Unicode MS" w:hAnsi="Arial Unicode MS" w:eastAsia="Arial Unicode MS"/>
          <w:color w:val="66727D"/>
          <w:sz w:val="17"/>
        </w:rPr>
        <w:t>16601706830</w:t>
      </w:r>
      <w:r>
        <w:rPr>
          <w:rFonts w:ascii="Arial Unicode MS" w:hAnsi="Arial Unicode MS" w:eastAsia="Arial Unicode MS"/>
          <w:color w:val="A3ABB2"/>
          <w:sz w:val="17"/>
        </w:rPr>
        <w:t xml:space="preserve">  |  </w:t>
      </w:r>
      <w:r>
        <w:rPr>
          <w:rFonts w:ascii="Arial Unicode MS" w:hAnsi="Arial Unicode MS" w:eastAsia="Arial Unicode MS"/>
          <w:color w:val="66727D"/>
          <w:sz w:val="17"/>
        </w:rPr>
        <w:t>minion_runner@163.com</w:t>
      </w:r>
      <w:r>
        <w:rPr>
          <w:rFonts w:ascii="Arial Unicode MS" w:hAnsi="Arial Unicode MS" w:eastAsia="Arial Unicode MS"/>
          <w:color w:val="A3ABB2"/>
          <w:sz w:val="17"/>
        </w:rPr>
        <w:t xml:space="preserve">  |  </w:t>
      </w:r>
      <w:r>
        <w:rPr>
          <w:rFonts w:ascii="Arial Unicode MS" w:hAnsi="Arial Unicode MS" w:eastAsia="Arial Unicode MS"/>
          <w:color w:val="66727D"/>
          <w:sz w:val="17"/>
        </w:rPr>
        <w:t>现居深圳／上海优先</w:t>
      </w:r>
      <w:r>
        <w:rPr>
          <w:rFonts w:ascii="Arial Unicode MS" w:hAnsi="Arial Unicode MS" w:eastAsia="Arial Unicode MS"/>
          <w:color w:val="A3ABB2"/>
          <w:sz w:val="17"/>
        </w:rPr>
        <w:t xml:space="preserve">  |  </w:t>
      </w:r>
      <w:r>
        <w:rPr>
          <w:rFonts w:ascii="Arial Unicode MS" w:hAnsi="Arial Unicode MS" w:eastAsia="Arial Unicode MS"/>
          <w:color w:val="66727D"/>
          <w:sz w:val="17"/>
        </w:rPr>
        <w:t>Offer 后约 1 个月到岗</w:t>
      </w:r>
      <w:r>
        <w:rPr>
          <w:rFonts w:ascii="Arial Unicode MS" w:hAnsi="Arial Unicode MS" w:eastAsia="Arial Unicode MS"/>
          <w:color w:val="A3ABB2"/>
          <w:sz w:val="17"/>
        </w:rPr>
        <w:t xml:space="preserve">  |  </w:t>
      </w:r>
      <w:r>
        <w:rPr>
          <w:rFonts w:ascii="Arial Unicode MS" w:hAnsi="Arial Unicode MS" w:eastAsia="Arial Unicode MS"/>
          <w:color w:val="66727D"/>
          <w:sz w:val="17"/>
        </w:rPr>
        <w:t>可出差驻场</w:t>
      </w:r>
    </w:p>
    <w:p>
      <w:pPr>
        <w:spacing w:before="20" w:after="100"/>
        <w:widowControl w:val="1"/>
      </w:pPr>
      <w:r>
        <w:rPr>
          <w:rFonts w:ascii="Arial Unicode MS" w:hAnsi="Arial Unicode MS" w:eastAsia="Arial Unicode MS"/>
          <w:color w:val="66727D"/>
          <w:sz w:val="17"/>
        </w:rPr>
        <w:t>合作偏好：项目制优先，全职长期合作可谈｜无竞业限制</w:t>
      </w:r>
    </w:p>
    <w:p>
      <w:pPr>
        <w:spacing w:before="20" w:after="100"/>
        <w:ind w:left="198" w:right="198"/>
        <w:shd w:fill="EAF1F5"/>
        <w:widowControl w:val="1"/>
      </w:pPr>
      <w:r>
        <w:rPr>
          <w:rFonts w:ascii="Arial Unicode MS" w:hAnsi="Arial Unicode MS" w:eastAsia="Arial Unicode MS"/>
          <w:b/>
          <w:color w:val="16324F"/>
          <w:sz w:val="19"/>
        </w:rPr>
        <w:t>定位｜以商业诊断牵引 AI 落地：进入陌生行业后，先识别客户、盈利机制、真实痛点、潜在风险与增量，再定义 AI 产品和交付边界；借助 Codex 推进可用原型、客户测试和商务结果。</w:t>
      </w:r>
    </w:p>
    <w:p>
      <w:pPr>
        <w:pStyle w:val="Heading1"/>
        <w:keepNext/>
        <w:pBdr>
          <w:bottom w:val="single" w:sz="5" w:space="2" w:color="C7D7E2"/>
        </w:pBdr>
        <w:widowControl w:val="1"/>
      </w:pPr>
      <w:r>
        <w:rPr>
          <w:rFonts w:ascii="Arial Unicode MS" w:hAnsi="Arial Unicode MS" w:eastAsia="Arial Unicode MS"/>
          <w:b/>
          <w:color w:val="16324F"/>
          <w:sz w:val="25"/>
        </w:rPr>
        <w:t>核心证据</w:t>
      </w:r>
    </w:p>
    <w:p>
      <w:pPr>
        <w:pStyle w:val="ListBullet"/>
        <w:widowControl w:val="1"/>
      </w:pPr>
      <w:r>
        <w:rPr>
          <w:rFonts w:ascii="Arial Unicode MS" w:hAnsi="Arial Unicode MS" w:eastAsia="Arial Unicode MS"/>
          <w:color w:val="1F2933"/>
          <w:sz w:val="18"/>
        </w:rPr>
        <w:t>0→1→10经营：留学服务业务2018年单年营收约1700万元，年度学生289人、累计服务475人，团队峰值约120人。</w:t>
      </w:r>
    </w:p>
    <w:p>
      <w:pPr>
        <w:pStyle w:val="ListBullet"/>
        <w:widowControl w:val="1"/>
      </w:pPr>
      <w:r>
        <w:rPr>
          <w:rFonts w:ascii="Arial Unicode MS" w:hAnsi="Arial Unicode MS" w:eastAsia="Arial Unicode MS"/>
          <w:color w:val="1F2933"/>
          <w:sz w:val="18"/>
        </w:rPr>
        <w:t>AI商业转化：主导华润双鹤75万元AI科研赋能项目完成签约；康乐保150万元方案进入第二轮商务洽谈。</w:t>
      </w:r>
    </w:p>
    <w:p>
      <w:pPr>
        <w:pStyle w:val="ListBullet"/>
        <w:widowControl w:val="1"/>
      </w:pPr>
      <w:r>
        <w:rPr>
          <w:rFonts w:ascii="Arial Unicode MS" w:hAnsi="Arial Unicode MS" w:eastAsia="Arial Unicode MS"/>
          <w:color w:val="1F2933"/>
          <w:sz w:val="18"/>
        </w:rPr>
        <w:t>复杂交付：覆盖医疗项目的需求诊断、方案、签约、分包协同、驻场、验收与回款，能连接院方、专业团队和供应商。</w:t>
      </w:r>
    </w:p>
    <w:p>
      <w:pPr>
        <w:pStyle w:val="ListBullet"/>
        <w:widowControl w:val="1"/>
      </w:pPr>
      <w:r>
        <w:rPr>
          <w:rFonts w:ascii="Arial Unicode MS" w:hAnsi="Arial Unicode MS" w:eastAsia="Arial Unicode MS"/>
          <w:color w:val="1F2933"/>
          <w:sz w:val="18"/>
        </w:rPr>
        <w:t>AI落地：不止于提效，而是先发现业务风险与增量，再用Codex完成经营增长决策原型和每日录音知识化Agent，推动真实用户测试。</w:t>
      </w:r>
    </w:p>
    <w:p>
      <w:pPr>
        <w:pStyle w:val="Heading1"/>
        <w:keepNext/>
        <w:pBdr>
          <w:bottom w:val="single" w:sz="5" w:space="2" w:color="C7D7E2"/>
        </w:pBdr>
        <w:widowControl w:val="1"/>
      </w:pPr>
      <w:r>
        <w:rPr>
          <w:rFonts w:ascii="Arial Unicode MS" w:hAnsi="Arial Unicode MS" w:eastAsia="Arial Unicode MS"/>
          <w:b/>
          <w:color w:val="16324F"/>
          <w:sz w:val="25"/>
        </w:rPr>
        <w:t>工作经历</w:t>
      </w:r>
    </w:p>
    <w:p>
      <w:pPr>
        <w:keepNext/>
        <w:tabs>
          <w:tab w:pos="9638" w:val="right"/>
        </w:tabs>
        <w:spacing w:before="70" w:after="12"/>
        <w:widowControl w:val="1"/>
      </w:pPr>
      <w:r>
        <w:rPr>
          <w:rFonts w:ascii="Arial Unicode MS" w:hAnsi="Arial Unicode MS" w:eastAsia="Arial Unicode MS"/>
          <w:b/>
          <w:color w:val="16324F"/>
          <w:sz w:val="21"/>
        </w:rPr>
        <w:t>解螺旋｜业务拓展总监</w:t>
      </w:r>
      <w:r>
        <w:rPr>
          <w:rFonts w:ascii="Arial Unicode MS" w:hAnsi="Arial Unicode MS" w:eastAsia="Arial Unicode MS"/>
          <w:b/>
          <w:color w:val="66727D"/>
          <w:sz w:val="18"/>
        </w:rPr>
        <w:tab/>
        <w:t>2025年4月—至今</w:t>
      </w:r>
    </w:p>
    <w:p>
      <w:pPr>
        <w:keepNext/>
        <w:spacing w:before="0" w:after="28"/>
        <w:widowControl w:val="1"/>
      </w:pPr>
      <w:r>
        <w:rPr>
          <w:rFonts w:ascii="Arial Unicode MS" w:hAnsi="Arial Unicode MS" w:eastAsia="Arial Unicode MS"/>
          <w:i/>
          <w:color w:val="1D7A74"/>
          <w:sz w:val="18"/>
        </w:rPr>
        <w:t>B端医疗AI业务拓展、商业模式设计与优化</w:t>
      </w:r>
    </w:p>
    <w:p>
      <w:pPr>
        <w:pStyle w:val="ListBullet"/>
        <w:widowControl w:val="1"/>
      </w:pPr>
      <w:r>
        <w:rPr>
          <w:rFonts w:ascii="Arial Unicode MS" w:hAnsi="Arial Unicode MS" w:eastAsia="Arial Unicode MS"/>
          <w:color w:val="1F2933"/>
          <w:sz w:val="18"/>
        </w:rPr>
        <w:t>主导华润双鹤项目的需求诊断、方案设计、客户汇报与商务谈判，推动75万元项目完成签约；计划部署10台设备，覆盖15家医院同一目标科室及约100名医生，目前处于执行准备阶段。</w:t>
      </w:r>
    </w:p>
    <w:p>
      <w:pPr>
        <w:pStyle w:val="ListBullet"/>
        <w:widowControl w:val="1"/>
      </w:pPr>
      <w:r>
        <w:rPr>
          <w:rFonts w:ascii="Arial Unicode MS" w:hAnsi="Arial Unicode MS" w:eastAsia="Arial Unicode MS"/>
          <w:color w:val="1F2933"/>
          <w:sz w:val="18"/>
        </w:rPr>
        <w:t>推动康乐保150万元AI科研赋能方案进入第二轮商务洽谈，负责从需求收敛到合作方案和谈判推进。</w:t>
      </w:r>
    </w:p>
    <w:p>
      <w:pPr>
        <w:pStyle w:val="ListBullet"/>
        <w:widowControl w:val="1"/>
      </w:pPr>
      <w:r>
        <w:rPr>
          <w:rFonts w:ascii="Arial Unicode MS" w:hAnsi="Arial Unicode MS" w:eastAsia="Arial Unicode MS"/>
          <w:color w:val="1F2933"/>
          <w:sz w:val="18"/>
        </w:rPr>
        <w:t>设计“AI科研客户端＋线下学术工坊＋合规进科室”解决方案，将模糊的医生链接诉求拆为工具使用、学术活动、销售培训、合规留痕和效果评估。</w:t>
      </w:r>
    </w:p>
    <w:p>
      <w:pPr>
        <w:pStyle w:val="ListBullet"/>
        <w:widowControl w:val="1"/>
      </w:pPr>
      <w:r>
        <w:rPr>
          <w:rFonts w:ascii="Arial Unicode MS" w:hAnsi="Arial Unicode MS" w:eastAsia="Arial Unicode MS"/>
          <w:color w:val="1F2933"/>
          <w:sz w:val="18"/>
        </w:rPr>
        <w:t>形成年度科室赋能与轻资产租赁两类商业模式，覆盖设备、科研工作坊、学术会晤、内容审核、运维和项目管理。</w:t>
      </w:r>
    </w:p>
    <w:p>
      <w:pPr>
        <w:keepNext/>
        <w:tabs>
          <w:tab w:pos="9638" w:val="right"/>
        </w:tabs>
        <w:spacing w:before="70" w:after="12"/>
        <w:widowControl w:val="1"/>
      </w:pPr>
      <w:r>
        <w:rPr>
          <w:rFonts w:ascii="Arial Unicode MS" w:hAnsi="Arial Unicode MS" w:eastAsia="Arial Unicode MS"/>
          <w:b/>
          <w:color w:val="16324F"/>
          <w:sz w:val="21"/>
        </w:rPr>
        <w:t>华东建筑设计研究院有限公司｜项目商务经理</w:t>
      </w:r>
      <w:r>
        <w:rPr>
          <w:rFonts w:ascii="Arial Unicode MS" w:hAnsi="Arial Unicode MS" w:eastAsia="Arial Unicode MS"/>
          <w:b/>
          <w:color w:val="66727D"/>
          <w:sz w:val="18"/>
        </w:rPr>
        <w:tab/>
        <w:t>2020.02—2024.12</w:t>
      </w:r>
    </w:p>
    <w:p>
      <w:pPr>
        <w:keepNext/>
        <w:spacing w:before="0" w:after="28"/>
        <w:widowControl w:val="1"/>
      </w:pPr>
      <w:r>
        <w:rPr>
          <w:rFonts w:ascii="Arial Unicode MS" w:hAnsi="Arial Unicode MS" w:eastAsia="Arial Unicode MS"/>
          <w:i/>
          <w:color w:val="1D7A74"/>
          <w:sz w:val="18"/>
        </w:rPr>
        <w:t>医疗与养老建筑设计研究院｜医疗建设项目孵化与全流程推进</w:t>
      </w:r>
    </w:p>
    <w:p>
      <w:pPr>
        <w:pStyle w:val="ListBullet"/>
        <w:widowControl w:val="1"/>
      </w:pPr>
      <w:r>
        <w:rPr>
          <w:rFonts w:ascii="Arial Unicode MS" w:hAnsi="Arial Unicode MS" w:eastAsia="Arial Unicode MS"/>
          <w:color w:val="1F2933"/>
          <w:sz w:val="18"/>
        </w:rPr>
        <w:t>参与12个医疗建设项目的前期孵化，覆盖综合医院、专科医院与康复中心；围绕业主目标组织需求调研、概念规划、方案与可研协调，推动4个项目落地。</w:t>
      </w:r>
    </w:p>
    <w:p>
      <w:pPr>
        <w:pStyle w:val="ListBullet"/>
        <w:widowControl w:val="1"/>
      </w:pPr>
      <w:r>
        <w:rPr>
          <w:rFonts w:ascii="Arial Unicode MS" w:hAnsi="Arial Unicode MS" w:eastAsia="Arial Unicode MS"/>
          <w:color w:val="1F2933"/>
          <w:sz w:val="18"/>
        </w:rPr>
        <w:t>负责售前咨询、项目计划、分包与供应商协调、现场问题处理、验收和付款节点跟踪，打通从客户需求到交付回款的完整链路。</w:t>
      </w:r>
    </w:p>
    <w:p>
      <w:pPr>
        <w:pStyle w:val="ListBullet"/>
        <w:widowControl w:val="1"/>
      </w:pPr>
      <w:r>
        <w:rPr>
          <w:rFonts w:ascii="Arial Unicode MS" w:hAnsi="Arial Unicode MS" w:eastAsia="Arial Unicode MS"/>
          <w:color w:val="1F2933"/>
          <w:sz w:val="18"/>
        </w:rPr>
        <w:t>代表项目包括恩施州中心医院新区医疗中心、上海市西部医疗中心、深圳市福田区妇儿医院和深圳市儿童医院科教综合楼。</w:t>
      </w:r>
    </w:p>
    <w:p>
      <w:pPr>
        <w:pStyle w:val="ListBullet"/>
        <w:widowControl w:val="1"/>
      </w:pPr>
      <w:r>
        <w:rPr>
          <w:rFonts w:ascii="Arial Unicode MS" w:hAnsi="Arial Unicode MS" w:eastAsia="Arial Unicode MS"/>
          <w:color w:val="1F2933"/>
          <w:sz w:val="18"/>
        </w:rPr>
        <w:t>既能与院方管理层沟通业务目标，也能与设计、施工和设备团队对齐细节，形成数据化进度、风险和回款管理。</w:t>
      </w:r>
    </w:p>
    <w:p>
      <w:pPr>
        <w:widowControl w:val="1"/>
      </w:pPr>
      <w:r>
        <w:br w:type="page"/>
      </w:r>
    </w:p>
    <w:p>
      <w:pPr>
        <w:pStyle w:val="Heading1"/>
        <w:keepNext/>
        <w:pBdr>
          <w:bottom w:val="single" w:sz="5" w:space="2" w:color="C7D7E2"/>
        </w:pBdr>
        <w:widowControl w:val="1"/>
      </w:pPr>
      <w:r>
        <w:rPr>
          <w:rFonts w:ascii="Arial Unicode MS" w:hAnsi="Arial Unicode MS" w:eastAsia="Arial Unicode MS"/>
          <w:b/>
          <w:color w:val="16324F"/>
          <w:sz w:val="25"/>
        </w:rPr>
        <w:t>创业与经营经历</w:t>
      </w:r>
    </w:p>
    <w:p>
      <w:pPr>
        <w:keepNext/>
        <w:tabs>
          <w:tab w:pos="9638" w:val="right"/>
        </w:tabs>
        <w:spacing w:before="70" w:after="12"/>
        <w:widowControl w:val="1"/>
      </w:pPr>
      <w:r>
        <w:rPr>
          <w:rFonts w:ascii="Arial Unicode MS" w:hAnsi="Arial Unicode MS" w:eastAsia="Arial Unicode MS"/>
          <w:b/>
          <w:color w:val="16324F"/>
          <w:sz w:val="21"/>
        </w:rPr>
        <w:t>浙江轻装建筑科技有限公司｜联合创始人、副总经理</w:t>
      </w:r>
      <w:r>
        <w:rPr>
          <w:rFonts w:ascii="Arial Unicode MS" w:hAnsi="Arial Unicode MS" w:eastAsia="Arial Unicode MS"/>
          <w:b/>
          <w:color w:val="66727D"/>
          <w:sz w:val="18"/>
        </w:rPr>
        <w:tab/>
        <w:t>约2019—2020</w:t>
      </w:r>
    </w:p>
    <w:p>
      <w:pPr>
        <w:keepNext/>
        <w:spacing w:before="0" w:after="28"/>
        <w:widowControl w:val="1"/>
      </w:pPr>
      <w:r>
        <w:rPr>
          <w:rFonts w:ascii="Arial Unicode MS" w:hAnsi="Arial Unicode MS" w:eastAsia="Arial Unicode MS"/>
          <w:i/>
          <w:color w:val="1D7A74"/>
          <w:sz w:val="18"/>
        </w:rPr>
        <w:t>装配式建筑产品与项目交付｜准确起止月份待补充</w:t>
      </w:r>
    </w:p>
    <w:p>
      <w:pPr>
        <w:pStyle w:val="ListBullet"/>
        <w:widowControl w:val="1"/>
      </w:pPr>
      <w:r>
        <w:rPr>
          <w:rFonts w:ascii="Arial Unicode MS" w:hAnsi="Arial Unicode MS" w:eastAsia="Arial Unicode MS"/>
          <w:color w:val="1F2933"/>
          <w:sz w:val="18"/>
        </w:rPr>
        <w:t>负责团队管理、产品设计汇报和产品落地，协调客户、设计与供应链资源推进实体项目。</w:t>
      </w:r>
    </w:p>
    <w:p>
      <w:pPr>
        <w:pStyle w:val="ListBullet"/>
        <w:widowControl w:val="1"/>
      </w:pPr>
      <w:r>
        <w:rPr>
          <w:rFonts w:ascii="Arial Unicode MS" w:hAnsi="Arial Unicode MS" w:eastAsia="Arial Unicode MS"/>
          <w:color w:val="1F2933"/>
          <w:sz w:val="18"/>
        </w:rPr>
        <w:t>经历重资产项目垫资、回款和组织治理风险，形成合同、资金、交付分权及项目退出机制的系统复盘。</w:t>
      </w:r>
    </w:p>
    <w:p>
      <w:pPr>
        <w:keepNext/>
        <w:tabs>
          <w:tab w:pos="9638" w:val="right"/>
        </w:tabs>
        <w:spacing w:before="70" w:after="12"/>
        <w:widowControl w:val="1"/>
      </w:pPr>
      <w:r>
        <w:rPr>
          <w:rFonts w:ascii="Arial Unicode MS" w:hAnsi="Arial Unicode MS" w:eastAsia="Arial Unicode MS"/>
          <w:b/>
          <w:color w:val="16324F"/>
          <w:sz w:val="21"/>
        </w:rPr>
        <w:t>留学服务业务｜联合创始人</w:t>
      </w:r>
      <w:r>
        <w:rPr>
          <w:rFonts w:ascii="Arial Unicode MS" w:hAnsi="Arial Unicode MS" w:eastAsia="Arial Unicode MS"/>
          <w:b/>
          <w:color w:val="66727D"/>
          <w:sz w:val="18"/>
        </w:rPr>
        <w:tab/>
        <w:t>2015—2018</w:t>
      </w:r>
    </w:p>
    <w:p>
      <w:pPr>
        <w:keepNext/>
        <w:spacing w:before="0" w:after="28"/>
        <w:widowControl w:val="1"/>
      </w:pPr>
      <w:r>
        <w:rPr>
          <w:rFonts w:ascii="Arial Unicode MS" w:hAnsi="Arial Unicode MS" w:eastAsia="Arial Unicode MS"/>
          <w:i/>
          <w:color w:val="1D7A74"/>
          <w:sz w:val="18"/>
        </w:rPr>
        <w:t>内容获客、产品设计、教务体系、导师网络与学生规划</w:t>
      </w:r>
    </w:p>
    <w:p>
      <w:pPr>
        <w:pStyle w:val="ListBullet"/>
        <w:widowControl w:val="1"/>
      </w:pPr>
      <w:r>
        <w:rPr>
          <w:rFonts w:ascii="Arial Unicode MS" w:hAnsi="Arial Unicode MS" w:eastAsia="Arial Unicode MS"/>
          <w:color w:val="1F2933"/>
          <w:sz w:val="18"/>
        </w:rPr>
        <w:t>从公众号和社群起盘：约半年将公众号从0增长至4.7万粉丝，建立6个约500人社群，并将分散咨询转化为可验证的付费需求。</w:t>
      </w:r>
    </w:p>
    <w:p>
      <w:pPr>
        <w:pStyle w:val="ListBullet"/>
        <w:widowControl w:val="1"/>
      </w:pPr>
      <w:r>
        <w:rPr>
          <w:rFonts w:ascii="Arial Unicode MS" w:hAnsi="Arial Unicode MS" w:eastAsia="Arial Unicode MS"/>
          <w:color w:val="1F2933"/>
          <w:sz w:val="18"/>
        </w:rPr>
        <w:t>搭建“内容—社群—咨询—交付—转介绍／学员转导师”增长飞轮；第一年成交15人，其中12人后续成为授课老师。</w:t>
      </w:r>
    </w:p>
    <w:p>
      <w:pPr>
        <w:pStyle w:val="ListBullet"/>
        <w:widowControl w:val="1"/>
      </w:pPr>
      <w:r>
        <w:rPr>
          <w:rFonts w:ascii="Arial Unicode MS" w:hAnsi="Arial Unicode MS" w:eastAsia="Arial Unicode MS"/>
          <w:color w:val="1F2933"/>
          <w:sz w:val="18"/>
        </w:rPr>
        <w:t>将单一留学申请延伸到求职辅导、海外内推和游学；2018年单年营收约1700万元，年度学生289人，累计服务475人。</w:t>
      </w:r>
    </w:p>
    <w:p>
      <w:pPr>
        <w:pStyle w:val="ListBullet"/>
        <w:widowControl w:val="1"/>
      </w:pPr>
      <w:r>
        <w:rPr>
          <w:rFonts w:ascii="Arial Unicode MS" w:hAnsi="Arial Unicode MS" w:eastAsia="Arial Unicode MS"/>
          <w:color w:val="1F2933"/>
          <w:sz w:val="18"/>
        </w:rPr>
        <w:t>建立约120人的交付网络，其中全职约10人、兼职导师100余人；本人负责教师端管理、学生端规划和教务分发系统。</w:t>
      </w:r>
    </w:p>
    <w:p>
      <w:pPr>
        <w:pStyle w:val="ListBullet"/>
        <w:widowControl w:val="1"/>
      </w:pPr>
      <w:r>
        <w:rPr>
          <w:rFonts w:ascii="Arial Unicode MS" w:hAnsi="Arial Unicode MS" w:eastAsia="Arial Unicode MS"/>
          <w:color w:val="1F2933"/>
          <w:sz w:val="18"/>
        </w:rPr>
        <w:t>代表案例：通过目标诊断、选校模型、45课时计划、双导师匹配和季度评审，帮助普通一本学生获得哈佛GSD等录取，并带来4—5名转介绍。</w:t>
      </w:r>
    </w:p>
    <w:p>
      <w:pPr>
        <w:pStyle w:val="Heading1"/>
        <w:keepNext/>
        <w:pBdr>
          <w:bottom w:val="single" w:sz="5" w:space="2" w:color="C7D7E2"/>
        </w:pBdr>
        <w:widowControl w:val="1"/>
      </w:pPr>
      <w:r>
        <w:rPr>
          <w:rFonts w:ascii="Arial Unicode MS" w:hAnsi="Arial Unicode MS" w:eastAsia="Arial Unicode MS"/>
          <w:b/>
          <w:color w:val="16324F"/>
          <w:sz w:val="25"/>
        </w:rPr>
        <w:t>代表性AI项目</w:t>
      </w:r>
    </w:p>
    <w:p>
      <w:pPr>
        <w:pStyle w:val="Heading2"/>
        <w:widowControl w:val="1"/>
      </w:pPr>
      <w:r>
        <w:rPr>
          <w:rFonts w:ascii="Arial Unicode MS" w:hAnsi="Arial Unicode MS" w:eastAsia="Arial Unicode MS"/>
          <w:b/>
          <w:color w:val="246B8E"/>
          <w:sz w:val="21"/>
        </w:rPr>
        <w:t>经营增长决策器｜真实制造企业早期试点</w:t>
      </w:r>
    </w:p>
    <w:p>
      <w:pPr>
        <w:pStyle w:val="ListBullet"/>
        <w:widowControl w:val="1"/>
      </w:pPr>
      <w:r>
        <w:rPr>
          <w:rFonts w:ascii="Arial Unicode MS" w:hAnsi="Arial Unicode MS" w:eastAsia="Arial Unicode MS"/>
          <w:color w:val="1F2933"/>
          <w:sz w:val="18"/>
        </w:rPr>
        <w:t>面向传统制造业老板，将“业绩停滞”拆为存量止跌、销售漏斗修复、新产品／新市场筛选三条路径，并输出7天行动和停止规则。</w:t>
      </w:r>
    </w:p>
    <w:p>
      <w:pPr>
        <w:pStyle w:val="ListBullet"/>
        <w:widowControl w:val="1"/>
      </w:pPr>
      <w:r>
        <w:rPr>
          <w:rFonts w:ascii="Arial Unicode MS" w:hAnsi="Arial Unicode MS" w:eastAsia="Arial Unicode MS"/>
          <w:color w:val="1F2933"/>
          <w:sz w:val="18"/>
        </w:rPr>
        <w:t>广东阳江一家五金企业完成真实试用：系统处理订单、产线和产品信息；本人提出无人机、机器人定制五金件的待验证假设，并协助市场与准入调研。</w:t>
      </w:r>
    </w:p>
    <w:p>
      <w:pPr>
        <w:pStyle w:val="ListBullet"/>
        <w:widowControl w:val="1"/>
      </w:pPr>
      <w:r>
        <w:rPr>
          <w:rFonts w:ascii="Arial Unicode MS" w:hAnsi="Arial Unicode MS" w:eastAsia="Arial Unicode MS"/>
          <w:color w:val="1F2933"/>
          <w:sz w:val="18"/>
        </w:rPr>
        <w:t>根据客户“填表思考成本高”的反馈，把评分表改为六问语音访谈；客户反馈数据拆分细、语音识别准确。当前仅1家未收费试点，尚无增长结果。</w:t>
      </w:r>
    </w:p>
    <w:p>
      <w:pPr>
        <w:pStyle w:val="Heading2"/>
        <w:widowControl w:val="1"/>
      </w:pPr>
      <w:r>
        <w:rPr>
          <w:rFonts w:ascii="Arial Unicode MS" w:hAnsi="Arial Unicode MS" w:eastAsia="Arial Unicode MS"/>
          <w:b/>
          <w:color w:val="246B8E"/>
          <w:sz w:val="21"/>
        </w:rPr>
        <w:t>飞书录音处理与知识库Agent｜日常自动化</w:t>
      </w:r>
    </w:p>
    <w:p>
      <w:pPr>
        <w:pStyle w:val="ListBullet"/>
        <w:widowControl w:val="1"/>
      </w:pPr>
      <w:r>
        <w:rPr>
          <w:rFonts w:ascii="Arial Unicode MS" w:hAnsi="Arial Unicode MS" w:eastAsia="Arial Unicode MS"/>
          <w:color w:val="1F2933"/>
          <w:sz w:val="18"/>
        </w:rPr>
        <w:t>使用Codex、飞书CLI和定时任务搭建每天09:00自动运行的录音知识化流程，覆盖检索、逐字稿归档、提炼、分类、去重和通知。</w:t>
      </w:r>
    </w:p>
    <w:p>
      <w:pPr>
        <w:pStyle w:val="ListBullet"/>
        <w:widowControl w:val="1"/>
      </w:pPr>
      <w:r>
        <w:rPr>
          <w:rFonts w:ascii="Arial Unicode MS" w:hAnsi="Arial Unicode MS" w:eastAsia="Arial Unicode MS"/>
          <w:color w:val="1F2933"/>
          <w:sz w:val="18"/>
        </w:rPr>
        <w:t>针对匿名Speaker误归属风险建立证据硬门槛：身份不能确认时只保留为外部参考，不写入本人人设、案例或正式方法论。</w:t>
      </w:r>
    </w:p>
    <w:p>
      <w:pPr>
        <w:pStyle w:val="Heading1"/>
        <w:keepNext/>
        <w:pBdr>
          <w:bottom w:val="single" w:sz="5" w:space="2" w:color="C7D7E2"/>
        </w:pBdr>
        <w:widowControl w:val="1"/>
      </w:pPr>
      <w:r>
        <w:rPr>
          <w:rFonts w:ascii="Arial Unicode MS" w:hAnsi="Arial Unicode MS" w:eastAsia="Arial Unicode MS"/>
          <w:b/>
          <w:color w:val="16324F"/>
          <w:sz w:val="25"/>
        </w:rPr>
        <w:t>方法与能力</w:t>
      </w:r>
    </w:p>
    <w:p>
      <w:pPr>
        <w:pStyle w:val="ListBullet"/>
        <w:widowControl w:val="1"/>
      </w:pPr>
      <w:r>
        <w:rPr>
          <w:rFonts w:ascii="Arial Unicode MS" w:hAnsi="Arial Unicode MS" w:eastAsia="Arial Unicode MS"/>
          <w:color w:val="1F2933"/>
          <w:sz w:val="18"/>
        </w:rPr>
        <w:t>商业诊断：客户与付费人识别、价值链与盈利逻辑、痛点与危险因素、增量机会、投入产出比、人效、漏斗转化。</w:t>
      </w:r>
    </w:p>
    <w:p>
      <w:pPr>
        <w:pStyle w:val="ListBullet"/>
        <w:widowControl w:val="1"/>
      </w:pPr>
      <w:r>
        <w:rPr>
          <w:rFonts w:ascii="Arial Unicode MS" w:hAnsi="Arial Unicode MS" w:eastAsia="Arial Unicode MS"/>
          <w:color w:val="1F2933"/>
          <w:sz w:val="18"/>
        </w:rPr>
        <w:t>AI交付编排：业务访谈、需求定义、流程设计、数据口径、事实边界、原型迭代、用户测试、验收与回归检查。</w:t>
      </w:r>
    </w:p>
    <w:p>
      <w:pPr>
        <w:pStyle w:val="ListBullet"/>
        <w:widowControl w:val="1"/>
      </w:pPr>
      <w:r>
        <w:rPr>
          <w:rFonts w:ascii="Arial Unicode MS" w:hAnsi="Arial Unicode MS" w:eastAsia="Arial Unicode MS"/>
          <w:color w:val="1F2933"/>
          <w:sz w:val="18"/>
        </w:rPr>
        <w:t>大客户与项目：B端方案、商务汇报、谈判签约、跨部门协同、培训、驻场交付、风险和回款管理。</w:t>
      </w:r>
    </w:p>
    <w:p>
      <w:pPr>
        <w:pStyle w:val="ListBullet"/>
        <w:widowControl w:val="1"/>
      </w:pPr>
      <w:r>
        <w:rPr>
          <w:rFonts w:ascii="Arial Unicode MS" w:hAnsi="Arial Unicode MS" w:eastAsia="Arial Unicode MS"/>
          <w:color w:val="1F2933"/>
          <w:sz w:val="18"/>
        </w:rPr>
        <w:t>工具：Codex、飞书CLI、飞书妙记、Excel、PowerPoint；不以独立手写代码或复杂代码审查为能力主张。</w:t>
      </w:r>
    </w:p>
    <w:p>
      <w:pPr>
        <w:pStyle w:val="Heading1"/>
        <w:keepNext/>
        <w:pBdr>
          <w:bottom w:val="single" w:sz="5" w:space="2" w:color="C7D7E2"/>
        </w:pBdr>
        <w:widowControl w:val="1"/>
      </w:pPr>
      <w:r>
        <w:rPr>
          <w:rFonts w:ascii="Arial Unicode MS" w:hAnsi="Arial Unicode MS" w:eastAsia="Arial Unicode MS"/>
          <w:b/>
          <w:color w:val="16324F"/>
          <w:sz w:val="25"/>
        </w:rPr>
        <w:t>教育背景</w:t>
      </w:r>
    </w:p>
    <w:p>
      <w:pPr>
        <w:spacing w:after="20"/>
        <w:widowControl w:val="1"/>
      </w:pPr>
      <w:r>
        <w:rPr>
          <w:rFonts w:ascii="Arial Unicode MS" w:hAnsi="Arial Unicode MS" w:eastAsia="Arial Unicode MS"/>
          <w:b/>
          <w:color w:val="16324F"/>
          <w:sz w:val="19"/>
        </w:rPr>
        <w:t>弗吉尼亚理工大学｜建筑学硕士｜2016—2018</w:t>
      </w:r>
      <w:r>
        <w:rPr>
          <w:rFonts w:ascii="Arial Unicode MS" w:hAnsi="Arial Unicode MS" w:eastAsia="Arial Unicode MS"/>
          <w:color w:val="66727D"/>
          <w:sz w:val="18"/>
        </w:rPr>
        <w:t xml:space="preserve">　全额奖学金；本科生助教</w:t>
      </w:r>
    </w:p>
    <w:p>
      <w:pPr>
        <w:spacing w:after="20"/>
        <w:widowControl w:val="1"/>
      </w:pPr>
      <w:r>
        <w:rPr>
          <w:rFonts w:ascii="Arial Unicode MS" w:hAnsi="Arial Unicode MS" w:eastAsia="Arial Unicode MS"/>
          <w:b/>
          <w:color w:val="16324F"/>
          <w:sz w:val="19"/>
        </w:rPr>
        <w:t>山东建筑大学｜建筑学学士｜2011—2016</w:t>
      </w:r>
      <w:r>
        <w:rPr>
          <w:rFonts w:ascii="Arial Unicode MS" w:hAnsi="Arial Unicode MS" w:eastAsia="Arial Unicode MS"/>
          <w:color w:val="66727D"/>
          <w:sz w:val="18"/>
        </w:rPr>
        <w:t xml:space="preserve">　年级前5%（原简历记录）</w:t>
      </w:r>
    </w:p>
    <w:p>
      <w:pPr>
        <w:spacing w:after="0"/>
        <w:widowControl w:val="1"/>
      </w:pPr>
      <w:r>
        <w:rPr>
          <w:rFonts w:ascii="Arial Unicode MS" w:hAnsi="Arial Unicode MS" w:eastAsia="Arial Unicode MS"/>
          <w:b/>
          <w:color w:val="16324F"/>
          <w:sz w:val="19"/>
        </w:rPr>
        <w:t>雪城大学｜交换学习｜2013—2015</w:t>
      </w:r>
      <w:r>
        <w:rPr>
          <w:rFonts w:ascii="Arial Unicode MS" w:hAnsi="Arial Unicode MS" w:eastAsia="Arial Unicode MS"/>
          <w:color w:val="66727D"/>
          <w:sz w:val="18"/>
        </w:rPr>
        <w:t xml:space="preserve">　海外学习与跨文化协作经历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22" w:right="907" w:bottom="765" w:left="907" w:header="369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 Unicode MS" w:hAnsi="Arial Unicode MS" w:eastAsia="Arial Unicode MS"/>
        <w:color w:val="66727D"/>
        <w:sz w:val="17"/>
      </w:rPr>
      <w:t xml:space="preserve">第 </w:t>
    </w:r>
    <w:r>
      <w:rPr>
        <w:rFonts w:ascii="Arial Unicode MS" w:hAnsi="Arial Unicode MS" w:eastAsia="Arial Unicode MS"/>
        <w:sz w:val="17"/>
        <w:color w:val="66727D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 Unicode MS" w:hAnsi="Arial Unicode MS" w:eastAsia="Arial Unicode MS"/>
        <w:color w:val="66727D"/>
        <w:sz w:val="17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 Unicode MS" w:hAnsi="Arial Unicode MS" w:eastAsia="Arial Unicode MS"/>
        <w:color w:val="66727D"/>
        <w:sz w:val="16"/>
      </w:rPr>
      <w:t>赵育轩｜FDE 定向简历｜采访核实版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44" w:line="276" w:lineRule="auto"/>
    </w:pPr>
    <w:rPr>
      <w:rFonts w:ascii="Arial Unicode MS" w:hAnsi="Arial Unicode MS" w:eastAsia="Arial Unicode MS"/>
      <w:color w:val="1F2933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6324F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/>
      <w:outlineLvl w:val="1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246B8E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60" w:after="30"/>
      <w:outlineLvl w:val="2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D7A74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24" w:line="269" w:lineRule="auto"/>
      <w:ind w:left="312" w:hanging="159"/>
      <w:contextualSpacing/>
    </w:pPr>
    <w:rPr>
      <w:rFonts w:ascii="Arial Unicode MS" w:hAnsi="Arial Unicode MS" w:eastAsia="Arial Unicode MS"/>
      <w:color w:val="1F2933"/>
      <w:sz w:val="18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赵育轩｜生财FDE定向简历｜采访核实版</dc:title>
  <dc:subject>企业AI落地、商业诊断与复杂项目交付</dc:subject>
  <dc:creator>赵育轩</dc:creator>
  <cp:keywords>FDE, 企业AI落地, 商业诊断, 业务增长, Codex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